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FEEE1F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A645A">
        <w:rPr>
          <w:sz w:val="23"/>
          <w:szCs w:val="23"/>
        </w:rPr>
        <w:t>Hlavní polní cesta C37 vč. interakčního prvku IP16, záchytný příkop OP10 a OP11, k. ú. Strání</w:t>
      </w:r>
    </w:p>
    <w:p w14:paraId="33661A81" w14:textId="197F649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A645A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EA645A">
        <w:t>stavební práce</w:t>
      </w:r>
      <w:r w:rsidR="00F35B3A" w:rsidRPr="00F35B3A">
        <w:t xml:space="preserve"> zadávaná v</w:t>
      </w:r>
      <w:r w:rsidR="00EA645A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</w:t>
      </w:r>
      <w:r w:rsidRPr="00CC2C9D">
        <w:rPr>
          <w:rFonts w:cs="Arial"/>
          <w:szCs w:val="22"/>
        </w:rPr>
        <w:lastRenderedPageBreak/>
        <w:t xml:space="preserve">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59EE47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81DAB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1DAB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645A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736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4</cp:revision>
  <cp:lastPrinted>2022-02-09T07:14:00Z</cp:lastPrinted>
  <dcterms:created xsi:type="dcterms:W3CDTF">2023-12-12T09:11:00Z</dcterms:created>
  <dcterms:modified xsi:type="dcterms:W3CDTF">2024-07-17T18:31:00Z</dcterms:modified>
</cp:coreProperties>
</file>